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7B07E" w14:textId="451B8BAE" w:rsidR="00FF63EF" w:rsidRDefault="00FF63EF" w:rsidP="00FF63EF">
      <w:pPr>
        <w:pStyle w:val="StandardWeb"/>
        <w:spacing w:before="118" w:beforeAutospacing="0" w:after="118" w:afterAutospacing="0"/>
        <w:rPr>
          <w:rFonts w:ascii="Arial" w:hAnsi="Arial" w:cs="Arial"/>
          <w:b/>
          <w:bCs/>
          <w:sz w:val="27"/>
          <w:szCs w:val="27"/>
        </w:rPr>
      </w:pPr>
      <w:r w:rsidRPr="00FF63EF">
        <w:rPr>
          <w:rFonts w:ascii="Arial" w:hAnsi="Arial" w:cs="Arial"/>
          <w:b/>
          <w:bCs/>
          <w:sz w:val="27"/>
          <w:szCs w:val="27"/>
        </w:rPr>
        <w:t>Visible Learning</w:t>
      </w:r>
    </w:p>
    <w:p w14:paraId="4CCA7617" w14:textId="77777777" w:rsidR="00C2535C" w:rsidRPr="00FF63EF" w:rsidRDefault="00C2535C" w:rsidP="00FF63EF">
      <w:pPr>
        <w:pStyle w:val="StandardWeb"/>
        <w:spacing w:before="118" w:beforeAutospacing="0" w:after="118" w:afterAutospacing="0"/>
        <w:rPr>
          <w:rFonts w:ascii="&amp;quot" w:hAnsi="&amp;quot"/>
          <w:sz w:val="21"/>
          <w:szCs w:val="21"/>
        </w:rPr>
      </w:pPr>
    </w:p>
    <w:p w14:paraId="337A98BB" w14:textId="77777777" w:rsidR="00FF63EF" w:rsidRPr="00FF63EF" w:rsidRDefault="00FF63EF" w:rsidP="00FF63EF">
      <w:pPr>
        <w:pStyle w:val="StandardWeb"/>
        <w:spacing w:before="118" w:beforeAutospacing="0" w:after="118" w:afterAutospacing="0"/>
        <w:rPr>
          <w:rFonts w:ascii="&amp;quot" w:hAnsi="&amp;quot"/>
          <w:sz w:val="21"/>
          <w:szCs w:val="21"/>
        </w:rPr>
      </w:pPr>
      <w:r w:rsidRPr="00FF63EF">
        <w:rPr>
          <w:rFonts w:ascii="Arial" w:hAnsi="Arial" w:cs="Arial"/>
        </w:rPr>
        <w:t xml:space="preserve">lautet der Titel, verfasst von John Hattie, einem neuseeländischen Bildungsforscher. Rund 800 internationale Metastudien hat er ausgewertet, sie beziehen sich auf rund 50.000 Einzelstudien. 138 Einflussfaktoren für den Lernerfolg hat Hattie darin ausgemacht. Aber anstatt sich in der Unübersichtlichkeit zu verheddern, stellt er die entscheidenden Fragen: Was wirkt nachhaltig, besitzt also eine besonders hohe Effektstärke – </w:t>
      </w:r>
      <w:r w:rsidRPr="00FF63EF">
        <w:rPr>
          <w:rStyle w:val="Hervorhebung"/>
          <w:rFonts w:ascii="Arial" w:hAnsi="Arial" w:cs="Arial"/>
        </w:rPr>
        <w:t>»</w:t>
      </w:r>
      <w:proofErr w:type="spellStart"/>
      <w:r w:rsidRPr="00FF63EF">
        <w:rPr>
          <w:rStyle w:val="Hervorhebung"/>
          <w:rFonts w:ascii="Arial" w:hAnsi="Arial" w:cs="Arial"/>
        </w:rPr>
        <w:t>What</w:t>
      </w:r>
      <w:proofErr w:type="spellEnd"/>
      <w:r w:rsidRPr="00FF63EF">
        <w:rPr>
          <w:rStyle w:val="Hervorhebung"/>
          <w:rFonts w:ascii="Arial" w:hAnsi="Arial" w:cs="Arial"/>
        </w:rPr>
        <w:t xml:space="preserve"> </w:t>
      </w:r>
      <w:proofErr w:type="spellStart"/>
      <w:r w:rsidRPr="00FF63EF">
        <w:rPr>
          <w:rStyle w:val="Hervorhebung"/>
          <w:rFonts w:ascii="Arial" w:hAnsi="Arial" w:cs="Arial"/>
        </w:rPr>
        <w:t>works</w:t>
      </w:r>
      <w:proofErr w:type="spellEnd"/>
      <w:r w:rsidRPr="00FF63EF">
        <w:rPr>
          <w:rStyle w:val="Hervorhebung"/>
          <w:rFonts w:ascii="Arial" w:hAnsi="Arial" w:cs="Arial"/>
        </w:rPr>
        <w:t xml:space="preserve"> </w:t>
      </w:r>
      <w:proofErr w:type="spellStart"/>
      <w:r w:rsidRPr="00FF63EF">
        <w:rPr>
          <w:rStyle w:val="Hervorhebung"/>
          <w:rFonts w:ascii="Arial" w:hAnsi="Arial" w:cs="Arial"/>
        </w:rPr>
        <w:t>best</w:t>
      </w:r>
      <w:proofErr w:type="spellEnd"/>
      <w:r w:rsidRPr="00FF63EF">
        <w:rPr>
          <w:rStyle w:val="Hervorhebung"/>
          <w:rFonts w:ascii="Arial" w:hAnsi="Arial" w:cs="Arial"/>
        </w:rPr>
        <w:t>?«</w:t>
      </w:r>
    </w:p>
    <w:p w14:paraId="0142184D" w14:textId="77777777" w:rsidR="00FF63EF" w:rsidRPr="00FF63EF" w:rsidRDefault="00FF63EF" w:rsidP="00FF63EF">
      <w:pPr>
        <w:pStyle w:val="StandardWeb"/>
        <w:spacing w:before="118" w:beforeAutospacing="0" w:after="118" w:afterAutospacing="0"/>
        <w:rPr>
          <w:rFonts w:ascii="&amp;quot" w:hAnsi="&amp;quot"/>
          <w:sz w:val="21"/>
          <w:szCs w:val="21"/>
        </w:rPr>
      </w:pPr>
      <w:r w:rsidRPr="00FF63EF">
        <w:rPr>
          <w:rFonts w:ascii="Arial" w:hAnsi="Arial" w:cs="Arial"/>
        </w:rPr>
        <w:t> </w:t>
      </w:r>
    </w:p>
    <w:p w14:paraId="5FAAF7B2" w14:textId="77777777" w:rsidR="00FF63EF" w:rsidRPr="00FF63EF" w:rsidRDefault="00FF63EF" w:rsidP="00FF63EF">
      <w:pPr>
        <w:pStyle w:val="StandardWeb"/>
        <w:spacing w:before="118" w:beforeAutospacing="0" w:after="118" w:afterAutospacing="0"/>
        <w:rPr>
          <w:rFonts w:ascii="&amp;quot" w:hAnsi="&amp;quot"/>
          <w:sz w:val="21"/>
          <w:szCs w:val="21"/>
        </w:rPr>
      </w:pPr>
      <w:r w:rsidRPr="00FF63EF">
        <w:rPr>
          <w:rFonts w:ascii="Arial" w:hAnsi="Arial" w:cs="Arial"/>
        </w:rPr>
        <w:t xml:space="preserve">Hatties Befunde belegen den absoluten Vorrang personaler vor strukturellen Einflussfaktoren. Nicht auf Schulorganisation oder Schulpolitik, sondern auf die Lehrer kommt es an </w:t>
      </w:r>
      <w:r w:rsidRPr="00FF63EF">
        <w:rPr>
          <w:rStyle w:val="Hervorhebung"/>
          <w:rFonts w:ascii="Arial" w:hAnsi="Arial" w:cs="Arial"/>
        </w:rPr>
        <w:t>(»</w:t>
      </w:r>
      <w:proofErr w:type="spellStart"/>
      <w:r w:rsidRPr="00FF63EF">
        <w:rPr>
          <w:rStyle w:val="Hervorhebung"/>
          <w:rFonts w:ascii="Arial" w:hAnsi="Arial" w:cs="Arial"/>
        </w:rPr>
        <w:t>the</w:t>
      </w:r>
      <w:proofErr w:type="spellEnd"/>
      <w:r w:rsidRPr="00FF63EF">
        <w:rPr>
          <w:rStyle w:val="Hervorhebung"/>
          <w:rFonts w:ascii="Arial" w:hAnsi="Arial" w:cs="Arial"/>
        </w:rPr>
        <w:t xml:space="preserve"> </w:t>
      </w:r>
      <w:proofErr w:type="spellStart"/>
      <w:r w:rsidRPr="00FF63EF">
        <w:rPr>
          <w:rStyle w:val="Hervorhebung"/>
          <w:rFonts w:ascii="Arial" w:hAnsi="Arial" w:cs="Arial"/>
        </w:rPr>
        <w:t>teacher</w:t>
      </w:r>
      <w:proofErr w:type="spellEnd"/>
      <w:r w:rsidRPr="00FF63EF">
        <w:rPr>
          <w:rStyle w:val="Hervorhebung"/>
          <w:rFonts w:ascii="Arial" w:hAnsi="Arial" w:cs="Arial"/>
        </w:rPr>
        <w:t xml:space="preserve"> </w:t>
      </w:r>
      <w:proofErr w:type="spellStart"/>
      <w:r w:rsidRPr="00FF63EF">
        <w:rPr>
          <w:rStyle w:val="Hervorhebung"/>
          <w:rFonts w:ascii="Arial" w:hAnsi="Arial" w:cs="Arial"/>
        </w:rPr>
        <w:t>matters</w:t>
      </w:r>
      <w:proofErr w:type="spellEnd"/>
      <w:r w:rsidRPr="00FF63EF">
        <w:rPr>
          <w:rStyle w:val="Hervorhebung"/>
          <w:rFonts w:ascii="Arial" w:hAnsi="Arial" w:cs="Arial"/>
        </w:rPr>
        <w:t>«)!</w:t>
      </w:r>
      <w:r w:rsidRPr="00FF63EF">
        <w:rPr>
          <w:rFonts w:ascii="Arial" w:hAnsi="Arial" w:cs="Arial"/>
        </w:rPr>
        <w:t xml:space="preserve"> Aber nicht der geborene Lehrer als Ausnahmetalent ist gemeint, sondern sein erlernbares Handeln </w:t>
      </w:r>
      <w:r w:rsidRPr="00FF63EF">
        <w:rPr>
          <w:rStyle w:val="Hervorhebung"/>
          <w:rFonts w:ascii="Arial" w:hAnsi="Arial" w:cs="Arial"/>
        </w:rPr>
        <w:t>(»</w:t>
      </w:r>
      <w:proofErr w:type="spellStart"/>
      <w:r w:rsidRPr="00FF63EF">
        <w:rPr>
          <w:rStyle w:val="Hervorhebung"/>
          <w:rFonts w:ascii="Arial" w:hAnsi="Arial" w:cs="Arial"/>
        </w:rPr>
        <w:t>What</w:t>
      </w:r>
      <w:proofErr w:type="spellEnd"/>
      <w:r w:rsidRPr="00FF63EF">
        <w:rPr>
          <w:rStyle w:val="Hervorhebung"/>
          <w:rFonts w:ascii="Arial" w:hAnsi="Arial" w:cs="Arial"/>
        </w:rPr>
        <w:t xml:space="preserve"> </w:t>
      </w:r>
      <w:proofErr w:type="spellStart"/>
      <w:r w:rsidRPr="00FF63EF">
        <w:rPr>
          <w:rStyle w:val="Hervorhebung"/>
          <w:rFonts w:ascii="Arial" w:hAnsi="Arial" w:cs="Arial"/>
        </w:rPr>
        <w:t>teachers</w:t>
      </w:r>
      <w:proofErr w:type="spellEnd"/>
      <w:r w:rsidRPr="00FF63EF">
        <w:rPr>
          <w:rStyle w:val="Hervorhebung"/>
          <w:rFonts w:ascii="Arial" w:hAnsi="Arial" w:cs="Arial"/>
        </w:rPr>
        <w:t xml:space="preserve"> do </w:t>
      </w:r>
      <w:proofErr w:type="spellStart"/>
      <w:r w:rsidRPr="00FF63EF">
        <w:rPr>
          <w:rStyle w:val="Hervorhebung"/>
          <w:rFonts w:ascii="Arial" w:hAnsi="Arial" w:cs="Arial"/>
        </w:rPr>
        <w:t>matters</w:t>
      </w:r>
      <w:proofErr w:type="spellEnd"/>
      <w:r w:rsidRPr="00FF63EF">
        <w:rPr>
          <w:rStyle w:val="Hervorhebung"/>
          <w:rFonts w:ascii="Arial" w:hAnsi="Arial" w:cs="Arial"/>
        </w:rPr>
        <w:t>«).</w:t>
      </w:r>
      <w:r w:rsidRPr="00FF63EF">
        <w:rPr>
          <w:rFonts w:ascii="Arial" w:hAnsi="Arial" w:cs="Arial"/>
        </w:rPr>
        <w:t xml:space="preserve"> Und dann folgt eine Liste wirkungsmächtiger Faktoren, die sich wie eine Rehabilitierung, aber auch Psychologisierung des Pädagogischen liest: strukturierte, klare und störungspräventive Unterrichtsführung; zugewandtes, ermutigendes, fehlerfreundliches und unterstützendes Lernklima; eine breite Palette an aktivierenden Lehr- und Lernstrategien; evaluative Vorgehensweisen, also das Einholen möglichst vielfältiger Informationen über Vorwissen, Arbeitsprozesse und Lernerträge der Schüler; schließlich fachliche Materialien und Programme zur spezifischen Unterstützung leistungsschwächerer Schüler.</w:t>
      </w:r>
    </w:p>
    <w:p w14:paraId="3CED4A92" w14:textId="77777777" w:rsidR="00FF63EF" w:rsidRPr="00FF63EF" w:rsidRDefault="00FF63EF" w:rsidP="00FF63EF">
      <w:pPr>
        <w:pStyle w:val="StandardWeb"/>
        <w:spacing w:before="118" w:beforeAutospacing="0" w:after="118" w:afterAutospacing="0"/>
        <w:rPr>
          <w:rFonts w:ascii="&amp;quot" w:hAnsi="&amp;quot"/>
          <w:sz w:val="21"/>
          <w:szCs w:val="21"/>
        </w:rPr>
      </w:pPr>
      <w:r w:rsidRPr="00FF63EF">
        <w:rPr>
          <w:rFonts w:ascii="Arial" w:hAnsi="Arial" w:cs="Arial"/>
        </w:rPr>
        <w:t> </w:t>
      </w:r>
    </w:p>
    <w:p w14:paraId="76529F59" w14:textId="77777777" w:rsidR="00FF63EF" w:rsidRPr="00FF63EF" w:rsidRDefault="00FF63EF" w:rsidP="00FF63EF">
      <w:pPr>
        <w:pStyle w:val="StandardWeb"/>
        <w:spacing w:before="118" w:beforeAutospacing="0" w:after="118" w:afterAutospacing="0"/>
        <w:rPr>
          <w:rFonts w:ascii="&amp;quot" w:hAnsi="&amp;quot"/>
          <w:sz w:val="21"/>
          <w:szCs w:val="21"/>
        </w:rPr>
      </w:pPr>
      <w:r w:rsidRPr="00FF63EF">
        <w:rPr>
          <w:rFonts w:ascii="&amp;quot" w:hAnsi="&amp;quot"/>
          <w:sz w:val="21"/>
          <w:szCs w:val="21"/>
        </w:rPr>
        <w:t> </w:t>
      </w:r>
    </w:p>
    <w:p w14:paraId="5AB81124" w14:textId="77777777" w:rsidR="00FF63EF" w:rsidRPr="00FF63EF" w:rsidRDefault="00FF63EF" w:rsidP="00FF63EF">
      <w:pPr>
        <w:pStyle w:val="StandardWeb"/>
        <w:spacing w:before="118" w:beforeAutospacing="0" w:after="118" w:afterAutospacing="0"/>
        <w:rPr>
          <w:rFonts w:ascii="&amp;quot" w:hAnsi="&amp;quot"/>
          <w:sz w:val="21"/>
          <w:szCs w:val="21"/>
        </w:rPr>
      </w:pPr>
      <w:r w:rsidRPr="00FF63EF">
        <w:rPr>
          <w:rStyle w:val="Fett"/>
          <w:rFonts w:ascii="Arial" w:hAnsi="Arial" w:cs="Arial"/>
        </w:rPr>
        <w:t>Die Verfeinerung von Bewährtem</w:t>
      </w:r>
    </w:p>
    <w:p w14:paraId="62767D00" w14:textId="77777777" w:rsidR="00FF63EF" w:rsidRPr="00FF63EF" w:rsidRDefault="00FF63EF" w:rsidP="00FF63EF">
      <w:pPr>
        <w:pStyle w:val="StandardWeb"/>
        <w:spacing w:before="118" w:beforeAutospacing="0" w:after="118" w:afterAutospacing="0"/>
        <w:rPr>
          <w:rFonts w:ascii="&amp;quot" w:hAnsi="&amp;quot"/>
          <w:sz w:val="21"/>
          <w:szCs w:val="21"/>
        </w:rPr>
      </w:pPr>
      <w:r w:rsidRPr="00FF63EF">
        <w:rPr>
          <w:rFonts w:ascii="Arial" w:hAnsi="Arial" w:cs="Arial"/>
        </w:rPr>
        <w:t>Eigentlich ein Paukenschlag: vier Jahrzehnte Schulsystemdebatte umsonst, Regalkilometer an didaktischen Beschwörungen des Offenen und Autonomen überflüssig! Welch veritables Stück Bildungsgerechtigkeit hätte sich in der Zeit und mit dem Papier schaffen lassen! Denn »nahezu alles, was die moderne Schulpädagogik für fortschrittlich hält« – so warnt der Göttinger Erziehungswissenschaftler Hermann Giesecke schon seit Langem –, »benachteiligt die Kinder aus bildungsfernem Milieu«.</w:t>
      </w:r>
    </w:p>
    <w:p w14:paraId="76A64A8E" w14:textId="1094F1C1" w:rsidR="00FF63EF" w:rsidRPr="00FF63EF" w:rsidRDefault="00FF63EF" w:rsidP="00FF63EF">
      <w:pPr>
        <w:pStyle w:val="StandardWeb"/>
        <w:spacing w:before="118" w:beforeAutospacing="0" w:after="118" w:afterAutospacing="0"/>
        <w:rPr>
          <w:rFonts w:ascii="&amp;quot" w:hAnsi="&amp;quot"/>
          <w:sz w:val="21"/>
          <w:szCs w:val="21"/>
        </w:rPr>
      </w:pPr>
      <w:r w:rsidRPr="00FF63EF">
        <w:rPr>
          <w:rFonts w:ascii="Arial" w:hAnsi="Arial" w:cs="Arial"/>
        </w:rPr>
        <w:t>Auf das Handeln der Lehrer kommt es also an – auf die richtige Einstellung und auf viel Kleinarbeit: dass sie das Vorwissen für neue Lernschritte bei ihren Schülern nicht einfach voraussetzen (Startillusion), sondern sorgfältig in Erfahrung bringen – und rechtzeitig und fantasievoll aktivieren. Dass sie nicht der gemütlichen These anhängen, Kinder wüssten selbst am besten, was gut für sie ist (</w:t>
      </w:r>
      <w:r w:rsidRPr="00D75F2A">
        <w:rPr>
          <w:rFonts w:ascii="Arial" w:hAnsi="Arial" w:cs="Arial"/>
          <w:highlight w:val="yellow"/>
        </w:rPr>
        <w:t>Autonomieillusion</w:t>
      </w:r>
      <w:r w:rsidRPr="00FF63EF">
        <w:rPr>
          <w:rFonts w:ascii="Arial" w:hAnsi="Arial" w:cs="Arial"/>
        </w:rPr>
        <w:t>), sondern deren entwicklungspsychologischem Bedürfnis nach Anleitung, Erklärung und Orientierung nachkommen. Dass sie sich nicht mit zwei, drei bestätigenden Schülerantworten zufriedengeben (</w:t>
      </w:r>
      <w:r w:rsidRPr="00EF37AA">
        <w:rPr>
          <w:rFonts w:ascii="Arial" w:hAnsi="Arial" w:cs="Arial"/>
          <w:highlight w:val="yellow"/>
        </w:rPr>
        <w:t>Verständnisillusion</w:t>
      </w:r>
      <w:r w:rsidRPr="00FF63EF">
        <w:rPr>
          <w:rFonts w:ascii="Arial" w:hAnsi="Arial" w:cs="Arial"/>
        </w:rPr>
        <w:t>), sondern eine Palette an Verstehens-, Trainings- und Überprüfungsaktivitäten organisieren.</w:t>
      </w:r>
    </w:p>
    <w:p w14:paraId="64871674" w14:textId="77777777" w:rsidR="00FF63EF" w:rsidRPr="00FF63EF" w:rsidRDefault="00FF63EF" w:rsidP="00FF63EF">
      <w:pPr>
        <w:pStyle w:val="StandardWeb"/>
        <w:spacing w:before="118" w:beforeAutospacing="0" w:after="118" w:afterAutospacing="0"/>
        <w:rPr>
          <w:rFonts w:ascii="&amp;quot" w:hAnsi="&amp;quot"/>
          <w:sz w:val="21"/>
          <w:szCs w:val="21"/>
        </w:rPr>
      </w:pPr>
      <w:r w:rsidRPr="00FF63EF">
        <w:rPr>
          <w:rFonts w:ascii="Arial" w:hAnsi="Arial" w:cs="Arial"/>
        </w:rPr>
        <w:t>Die Befunde der jüngsten XXL-Analyse wirken wie ein Gegenstück zur gängigen Reformeuphorie – sie sprechen für die Verfeinerung von Bewährtem: Der gute Lehrer als leidenschaftlicher Erzieher und Erklärer, der seine Schüler ernst nimmt – er vermag ihre Perspektive als Lernende einzunehmen, und er verdeutlicht ihnen die seinige als Unterrichtender. Die Hattie-Studie ist beileibe kein Freibrief für monotonen Lehrervortrag – aber eine Absage an jede Selbstlernidyllik.</w:t>
      </w:r>
    </w:p>
    <w:p w14:paraId="2D755D7F" w14:textId="77777777" w:rsidR="00FF63EF" w:rsidRPr="00FF63EF" w:rsidRDefault="00FF63EF" w:rsidP="00FF63EF">
      <w:pPr>
        <w:pStyle w:val="StandardWeb"/>
        <w:spacing w:before="118" w:beforeAutospacing="0" w:after="118" w:afterAutospacing="0"/>
        <w:rPr>
          <w:rFonts w:ascii="&amp;quot" w:hAnsi="&amp;quot"/>
          <w:sz w:val="21"/>
          <w:szCs w:val="21"/>
        </w:rPr>
      </w:pPr>
      <w:r w:rsidRPr="00FF63EF">
        <w:rPr>
          <w:rFonts w:ascii="Arial" w:hAnsi="Arial" w:cs="Arial"/>
        </w:rPr>
        <w:lastRenderedPageBreak/>
        <w:t>Mittlerweile bezahlen wir Heerscharen von Akademikern dafür, dass sie ständig pädagogische Neuigkeiten präsentieren. Es geht aber nicht darum, Schule permanent neu zu denken – es geht darum, genügend Praktiker zu haben, die selbstbewusst und feinfühlig einen guten Mix an Lernaktivitäten ausbalancieren, Tag für Tag. Das Rad muss auch in der Pädagogik nicht neu erfunden werden – es gilt vielmehr, beständig daran zu arbeiten, dass die Räder rund, leicht und gut gelagert sind. Mit Goethe könnte man auch sagen: Alles Vernünftige ist bereits einmal gedacht worden – es kommt darauf an, es noch einmal genauer zu betrachten.</w:t>
      </w:r>
    </w:p>
    <w:p w14:paraId="4BB67B81" w14:textId="32ACECEA" w:rsidR="0075524D" w:rsidRDefault="0075524D" w:rsidP="00FF63EF">
      <w:pPr>
        <w:pStyle w:val="StandardWeb"/>
        <w:spacing w:before="118" w:beforeAutospacing="0" w:after="118" w:afterAutospacing="0"/>
        <w:rPr>
          <w:rFonts w:ascii="&amp;quot" w:hAnsi="&amp;quot"/>
          <w:sz w:val="21"/>
          <w:szCs w:val="21"/>
        </w:rPr>
      </w:pPr>
    </w:p>
    <w:p w14:paraId="4B9935AD" w14:textId="77777777" w:rsidR="0075524D" w:rsidRPr="00FF63EF" w:rsidRDefault="0075524D" w:rsidP="00FF63EF">
      <w:pPr>
        <w:pStyle w:val="StandardWeb"/>
        <w:spacing w:before="118" w:beforeAutospacing="0" w:after="118" w:afterAutospacing="0"/>
        <w:rPr>
          <w:rFonts w:ascii="&amp;quot" w:hAnsi="&amp;quot"/>
          <w:sz w:val="21"/>
          <w:szCs w:val="21"/>
        </w:rPr>
      </w:pPr>
    </w:p>
    <w:p w14:paraId="200D78CD" w14:textId="4A68EA6C" w:rsidR="0052542F" w:rsidRDefault="001C4B14" w:rsidP="0021584E">
      <w:pPr>
        <w:pStyle w:val="StandardWeb"/>
        <w:spacing w:before="118" w:beforeAutospacing="0" w:after="118" w:afterAutospacing="0"/>
        <w:ind w:right="1134"/>
        <w:jc w:val="center"/>
        <w:rPr>
          <w:rFonts w:ascii="Arial" w:hAnsi="Arial" w:cs="Arial"/>
          <w:b/>
          <w:sz w:val="36"/>
          <w:szCs w:val="36"/>
          <w:u w:val="single"/>
        </w:rPr>
      </w:pPr>
      <w:bookmarkStart w:id="0" w:name="_GoBack"/>
      <w:r w:rsidRPr="007F5A87">
        <w:rPr>
          <w:rFonts w:ascii="Arial" w:hAnsi="Arial" w:cs="Arial"/>
          <w:b/>
          <w:sz w:val="36"/>
          <w:szCs w:val="36"/>
          <w:u w:val="single"/>
        </w:rPr>
        <w:t>40</w:t>
      </w:r>
      <w:r w:rsidR="005F5B35" w:rsidRPr="007F5A87">
        <w:rPr>
          <w:rFonts w:ascii="Arial" w:hAnsi="Arial" w:cs="Arial"/>
          <w:b/>
          <w:sz w:val="36"/>
          <w:szCs w:val="36"/>
          <w:u w:val="single"/>
        </w:rPr>
        <w:t xml:space="preserve"> </w:t>
      </w:r>
      <w:r w:rsidR="002229D0" w:rsidRPr="007F5A87">
        <w:rPr>
          <w:rFonts w:ascii="Arial" w:hAnsi="Arial" w:cs="Arial"/>
          <w:b/>
          <w:sz w:val="36"/>
          <w:szCs w:val="36"/>
          <w:u w:val="single"/>
        </w:rPr>
        <w:t>Jahr</w:t>
      </w:r>
      <w:r w:rsidR="005F5B35" w:rsidRPr="007F5A87">
        <w:rPr>
          <w:rFonts w:ascii="Arial" w:hAnsi="Arial" w:cs="Arial"/>
          <w:b/>
          <w:sz w:val="36"/>
          <w:szCs w:val="36"/>
          <w:u w:val="single"/>
        </w:rPr>
        <w:t>e</w:t>
      </w:r>
      <w:r w:rsidR="002229D0" w:rsidRPr="007F5A87">
        <w:rPr>
          <w:rFonts w:ascii="Arial" w:hAnsi="Arial" w:cs="Arial"/>
          <w:b/>
          <w:sz w:val="36"/>
          <w:szCs w:val="36"/>
          <w:u w:val="single"/>
        </w:rPr>
        <w:t xml:space="preserve"> </w:t>
      </w:r>
      <w:r w:rsidR="00282235" w:rsidRPr="007F5A87">
        <w:rPr>
          <w:rFonts w:ascii="Arial" w:hAnsi="Arial" w:cs="Arial"/>
          <w:b/>
          <w:sz w:val="36"/>
          <w:szCs w:val="36"/>
          <w:u w:val="single"/>
        </w:rPr>
        <w:t>«</w:t>
      </w:r>
      <w:r w:rsidR="002229D0" w:rsidRPr="007F5A87">
        <w:rPr>
          <w:rFonts w:ascii="Arial" w:hAnsi="Arial" w:cs="Arial"/>
          <w:b/>
          <w:sz w:val="36"/>
          <w:szCs w:val="36"/>
          <w:u w:val="single"/>
        </w:rPr>
        <w:t>Schul</w:t>
      </w:r>
      <w:r w:rsidR="008E1C07" w:rsidRPr="007F5A87">
        <w:rPr>
          <w:rFonts w:ascii="Arial" w:hAnsi="Arial" w:cs="Arial"/>
          <w:b/>
          <w:sz w:val="36"/>
          <w:szCs w:val="36"/>
          <w:u w:val="single"/>
        </w:rPr>
        <w:t>reformen</w:t>
      </w:r>
      <w:r w:rsidR="00282235" w:rsidRPr="007F5A87">
        <w:rPr>
          <w:rFonts w:ascii="Arial" w:hAnsi="Arial" w:cs="Arial"/>
          <w:b/>
          <w:sz w:val="36"/>
          <w:szCs w:val="36"/>
          <w:u w:val="single"/>
        </w:rPr>
        <w:t>»</w:t>
      </w:r>
    </w:p>
    <w:bookmarkEnd w:id="0"/>
    <w:p w14:paraId="44CA6859" w14:textId="77777777" w:rsidR="007877D1" w:rsidRPr="007F5A87" w:rsidRDefault="007877D1" w:rsidP="003D6A68">
      <w:pPr>
        <w:pStyle w:val="StandardWeb"/>
        <w:spacing w:before="118" w:beforeAutospacing="0" w:after="118" w:afterAutospacing="0"/>
        <w:ind w:right="1134"/>
        <w:rPr>
          <w:rFonts w:ascii="Arial" w:hAnsi="Arial" w:cs="Arial"/>
          <w:b/>
          <w:sz w:val="36"/>
          <w:szCs w:val="36"/>
          <w:u w:val="single"/>
        </w:rPr>
      </w:pPr>
    </w:p>
    <w:p w14:paraId="77F0F59C" w14:textId="3670C7B2" w:rsidR="00AA01F6" w:rsidRPr="00C2535C" w:rsidRDefault="00EB7D68" w:rsidP="0021584E">
      <w:pPr>
        <w:pStyle w:val="StandardWeb"/>
        <w:spacing w:before="118" w:beforeAutospacing="0" w:after="118" w:afterAutospacing="0"/>
        <w:jc w:val="center"/>
        <w:rPr>
          <w:rFonts w:ascii="Arial" w:hAnsi="Arial" w:cs="Arial"/>
          <w:b/>
          <w:color w:val="00B050"/>
        </w:rPr>
      </w:pPr>
      <w:r w:rsidRPr="0066625D">
        <w:rPr>
          <w:rFonts w:ascii="Arial" w:hAnsi="Arial" w:cs="Arial"/>
          <w:b/>
          <w:color w:val="FF0000"/>
          <w:sz w:val="72"/>
        </w:rPr>
        <w:sym w:font="Wingdings" w:char="F04C"/>
      </w:r>
      <w:r w:rsidR="00937156" w:rsidRPr="00A76474">
        <w:rPr>
          <w:rFonts w:ascii="Arial" w:hAnsi="Arial" w:cs="Arial"/>
          <w:b/>
          <w:color w:val="FF0000"/>
          <w:sz w:val="36"/>
        </w:rPr>
        <w:t>Absage an jede Selbstlernidyllik</w:t>
      </w:r>
      <w:r w:rsidR="0066625D" w:rsidRPr="00A76474">
        <w:rPr>
          <w:rFonts w:ascii="Arial" w:hAnsi="Arial" w:cs="Arial"/>
          <w:b/>
          <w:color w:val="FF0000"/>
          <w:sz w:val="36"/>
        </w:rPr>
        <w:t xml:space="preserve"> </w:t>
      </w:r>
      <w:r w:rsidR="000E0144" w:rsidRPr="00A76474">
        <w:rPr>
          <w:rFonts w:ascii="Arial" w:hAnsi="Arial" w:cs="Arial"/>
          <w:b/>
          <w:color w:val="FF0000"/>
          <w:sz w:val="36"/>
        </w:rPr>
        <w:t>«</w:t>
      </w:r>
      <w:r w:rsidR="0066625D" w:rsidRPr="00A76474">
        <w:rPr>
          <w:rFonts w:ascii="Arial" w:hAnsi="Arial" w:cs="Arial"/>
          <w:b/>
          <w:color w:val="FF0000"/>
          <w:sz w:val="36"/>
        </w:rPr>
        <w:t>LP21</w:t>
      </w:r>
      <w:r w:rsidR="000E0144" w:rsidRPr="00A76474">
        <w:rPr>
          <w:rFonts w:ascii="Arial" w:hAnsi="Arial" w:cs="Arial"/>
          <w:b/>
          <w:color w:val="FF0000"/>
          <w:sz w:val="36"/>
        </w:rPr>
        <w:t>»</w:t>
      </w:r>
      <w:r w:rsidR="003F6185" w:rsidRPr="0066625D">
        <w:rPr>
          <w:rFonts w:ascii="Arial" w:hAnsi="Arial" w:cs="Arial"/>
          <w:b/>
          <w:color w:val="FF0000"/>
          <w:sz w:val="72"/>
        </w:rPr>
        <w:sym w:font="Wingdings" w:char="F04C"/>
      </w:r>
      <w:r w:rsidR="000A65D9">
        <w:rPr>
          <w:rFonts w:ascii="Arial" w:hAnsi="Arial" w:cs="Arial"/>
          <w:b/>
          <w:color w:val="FF0000"/>
          <w:sz w:val="72"/>
        </w:rPr>
        <w:t xml:space="preserve"> </w:t>
      </w:r>
      <w:bookmarkStart w:id="1" w:name="_Hlk533838935"/>
      <w:r w:rsidR="00621CA7" w:rsidRPr="00C2535C">
        <w:rPr>
          <w:rFonts w:ascii="Arial" w:hAnsi="Arial" w:cs="Arial"/>
          <w:b/>
          <w:color w:val="00B050"/>
          <w:sz w:val="72"/>
        </w:rPr>
        <w:sym w:font="Wingdings" w:char="F04A"/>
      </w:r>
      <w:bookmarkEnd w:id="1"/>
      <w:r w:rsidR="00160BD8" w:rsidRPr="00C2535C">
        <w:rPr>
          <w:rFonts w:ascii="Arial" w:hAnsi="Arial" w:cs="Arial"/>
          <w:b/>
          <w:color w:val="00B050"/>
        </w:rPr>
        <w:t>strukturiert, klare und störungspräventive Unterrichtsführung</w:t>
      </w:r>
      <w:r w:rsidR="00387DE8" w:rsidRPr="00C2535C">
        <w:rPr>
          <w:rFonts w:ascii="Arial" w:hAnsi="Arial" w:cs="Arial"/>
          <w:b/>
          <w:color w:val="00B050"/>
          <w:sz w:val="72"/>
        </w:rPr>
        <w:sym w:font="Wingdings" w:char="F04A"/>
      </w:r>
    </w:p>
    <w:p w14:paraId="0D89E871" w14:textId="76646EA1" w:rsidR="00F95D51" w:rsidRPr="00C2535C" w:rsidRDefault="00F9370F" w:rsidP="0021584E">
      <w:pPr>
        <w:jc w:val="center"/>
        <w:rPr>
          <w:rFonts w:ascii="Arial" w:hAnsi="Arial" w:cs="Arial"/>
          <w:b/>
          <w:color w:val="00B050"/>
        </w:rPr>
      </w:pPr>
      <w:r w:rsidRPr="00C2535C">
        <w:rPr>
          <w:rFonts w:ascii="Arial" w:hAnsi="Arial" w:cs="Arial"/>
          <w:b/>
          <w:color w:val="00B050"/>
          <w:sz w:val="72"/>
        </w:rPr>
        <w:sym w:font="Wingdings" w:char="F04A"/>
      </w:r>
      <w:r w:rsidR="0082089B" w:rsidRPr="00C2535C">
        <w:rPr>
          <w:rFonts w:ascii="Arial" w:hAnsi="Arial" w:cs="Arial"/>
          <w:b/>
          <w:color w:val="00B050"/>
        </w:rPr>
        <w:t>Bedürfnis nach Anleitung, Erklärung und Orientierung</w:t>
      </w:r>
      <w:r w:rsidR="00387DE8" w:rsidRPr="00C2535C">
        <w:rPr>
          <w:rFonts w:ascii="Arial" w:hAnsi="Arial" w:cs="Arial"/>
          <w:b/>
          <w:color w:val="00B050"/>
          <w:sz w:val="72"/>
        </w:rPr>
        <w:sym w:font="Wingdings" w:char="F04A"/>
      </w:r>
    </w:p>
    <w:p w14:paraId="57A09D25" w14:textId="05F50EE7" w:rsidR="00367B73" w:rsidRPr="00C2535C" w:rsidRDefault="00315566" w:rsidP="0021584E">
      <w:pPr>
        <w:jc w:val="center"/>
        <w:rPr>
          <w:rFonts w:ascii="Arial" w:hAnsi="Arial" w:cs="Arial"/>
          <w:b/>
          <w:color w:val="00B050"/>
        </w:rPr>
      </w:pPr>
      <w:r w:rsidRPr="00C2535C">
        <w:rPr>
          <w:rFonts w:ascii="Arial" w:hAnsi="Arial" w:cs="Arial"/>
          <w:b/>
          <w:color w:val="00B050"/>
          <w:sz w:val="72"/>
        </w:rPr>
        <w:sym w:font="Wingdings" w:char="F04A"/>
      </w:r>
      <w:r w:rsidR="00367B73" w:rsidRPr="00C2535C">
        <w:rPr>
          <w:rFonts w:ascii="Arial" w:hAnsi="Arial" w:cs="Arial"/>
          <w:b/>
          <w:color w:val="00B050"/>
        </w:rPr>
        <w:t>Palette an Verstehens-, Trainings- und Überprüfungsaktivitäten</w:t>
      </w:r>
      <w:r w:rsidR="00387DE8" w:rsidRPr="00C2535C">
        <w:rPr>
          <w:rFonts w:ascii="Arial" w:hAnsi="Arial" w:cs="Arial"/>
          <w:b/>
          <w:color w:val="00B050"/>
          <w:sz w:val="72"/>
        </w:rPr>
        <w:sym w:font="Wingdings" w:char="F04A"/>
      </w:r>
    </w:p>
    <w:p w14:paraId="7EBC88FF" w14:textId="25496380" w:rsidR="00A3225A" w:rsidRPr="00C2535C" w:rsidRDefault="00315566" w:rsidP="0021584E">
      <w:pPr>
        <w:jc w:val="center"/>
        <w:rPr>
          <w:b/>
          <w:color w:val="00B050"/>
        </w:rPr>
      </w:pPr>
      <w:r w:rsidRPr="00C2535C">
        <w:rPr>
          <w:rFonts w:ascii="Arial" w:hAnsi="Arial" w:cs="Arial"/>
          <w:b/>
          <w:color w:val="00B050"/>
          <w:sz w:val="72"/>
        </w:rPr>
        <w:sym w:font="Wingdings" w:char="F04A"/>
      </w:r>
      <w:r w:rsidR="00A3225A" w:rsidRPr="00C2535C">
        <w:rPr>
          <w:rFonts w:ascii="Arial" w:hAnsi="Arial" w:cs="Arial"/>
          <w:b/>
          <w:color w:val="00B050"/>
        </w:rPr>
        <w:t>einen guten Mix an Lernaktivitäten ausbalancieren</w:t>
      </w:r>
      <w:r w:rsidR="00387DE8" w:rsidRPr="00C2535C">
        <w:rPr>
          <w:rFonts w:ascii="Arial" w:hAnsi="Arial" w:cs="Arial"/>
          <w:b/>
          <w:color w:val="00B050"/>
          <w:sz w:val="72"/>
        </w:rPr>
        <w:sym w:font="Wingdings" w:char="F04A"/>
      </w:r>
    </w:p>
    <w:sectPr w:rsidR="00A3225A" w:rsidRPr="00C253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EF"/>
    <w:rsid w:val="00035CDD"/>
    <w:rsid w:val="00051164"/>
    <w:rsid w:val="000609B2"/>
    <w:rsid w:val="00073C5B"/>
    <w:rsid w:val="000A65D9"/>
    <w:rsid w:val="000E0144"/>
    <w:rsid w:val="000E66DA"/>
    <w:rsid w:val="0013553D"/>
    <w:rsid w:val="00135CF6"/>
    <w:rsid w:val="00142142"/>
    <w:rsid w:val="00160BD8"/>
    <w:rsid w:val="001C4B14"/>
    <w:rsid w:val="001F5171"/>
    <w:rsid w:val="0021584E"/>
    <w:rsid w:val="002229D0"/>
    <w:rsid w:val="00282235"/>
    <w:rsid w:val="002A259D"/>
    <w:rsid w:val="00315566"/>
    <w:rsid w:val="003202D2"/>
    <w:rsid w:val="00367B73"/>
    <w:rsid w:val="003711F3"/>
    <w:rsid w:val="00374F11"/>
    <w:rsid w:val="00387DE8"/>
    <w:rsid w:val="003A7939"/>
    <w:rsid w:val="003C61A7"/>
    <w:rsid w:val="003D278C"/>
    <w:rsid w:val="003D6A68"/>
    <w:rsid w:val="003F6185"/>
    <w:rsid w:val="004C1055"/>
    <w:rsid w:val="004D21EC"/>
    <w:rsid w:val="004D445E"/>
    <w:rsid w:val="00510605"/>
    <w:rsid w:val="0052542F"/>
    <w:rsid w:val="00557BB0"/>
    <w:rsid w:val="005E521E"/>
    <w:rsid w:val="005F5B35"/>
    <w:rsid w:val="00621CA7"/>
    <w:rsid w:val="00645471"/>
    <w:rsid w:val="0066625D"/>
    <w:rsid w:val="0075524D"/>
    <w:rsid w:val="007877D1"/>
    <w:rsid w:val="007B69F0"/>
    <w:rsid w:val="007D715D"/>
    <w:rsid w:val="007F5A87"/>
    <w:rsid w:val="0082089B"/>
    <w:rsid w:val="00884460"/>
    <w:rsid w:val="008E1C07"/>
    <w:rsid w:val="00902D5C"/>
    <w:rsid w:val="00937156"/>
    <w:rsid w:val="009749D3"/>
    <w:rsid w:val="009A6EA8"/>
    <w:rsid w:val="00A31FBE"/>
    <w:rsid w:val="00A3225A"/>
    <w:rsid w:val="00A431B9"/>
    <w:rsid w:val="00A76474"/>
    <w:rsid w:val="00AA01F6"/>
    <w:rsid w:val="00AB0FFD"/>
    <w:rsid w:val="00AD284C"/>
    <w:rsid w:val="00AD385E"/>
    <w:rsid w:val="00B75836"/>
    <w:rsid w:val="00B81FD5"/>
    <w:rsid w:val="00BD4E59"/>
    <w:rsid w:val="00BF4C32"/>
    <w:rsid w:val="00C2123D"/>
    <w:rsid w:val="00C2535C"/>
    <w:rsid w:val="00C25971"/>
    <w:rsid w:val="00C3144E"/>
    <w:rsid w:val="00C82927"/>
    <w:rsid w:val="00C84BD4"/>
    <w:rsid w:val="00CA27AE"/>
    <w:rsid w:val="00CC4B0D"/>
    <w:rsid w:val="00D57032"/>
    <w:rsid w:val="00D66D77"/>
    <w:rsid w:val="00D7372A"/>
    <w:rsid w:val="00D75F2A"/>
    <w:rsid w:val="00D8781A"/>
    <w:rsid w:val="00E22D54"/>
    <w:rsid w:val="00E66074"/>
    <w:rsid w:val="00E71D35"/>
    <w:rsid w:val="00E87A87"/>
    <w:rsid w:val="00EA7A93"/>
    <w:rsid w:val="00EB7D68"/>
    <w:rsid w:val="00ED1B4F"/>
    <w:rsid w:val="00EF37AA"/>
    <w:rsid w:val="00F3490D"/>
    <w:rsid w:val="00F66982"/>
    <w:rsid w:val="00F935D7"/>
    <w:rsid w:val="00F9370F"/>
    <w:rsid w:val="00F95D51"/>
    <w:rsid w:val="00FF1DB7"/>
    <w:rsid w:val="00FF63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C294"/>
  <w15:chartTrackingRefBased/>
  <w15:docId w15:val="{F36B1AE6-E539-490D-A8D5-B5B771DA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F63E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FF63EF"/>
    <w:rPr>
      <w:i/>
      <w:iCs/>
    </w:rPr>
  </w:style>
  <w:style w:type="character" w:styleId="Fett">
    <w:name w:val="Strong"/>
    <w:basedOn w:val="Absatz-Standardschriftart"/>
    <w:uiPriority w:val="22"/>
    <w:qFormat/>
    <w:rsid w:val="00FF6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7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Heinrich Flury</dc:creator>
  <cp:keywords/>
  <dc:description/>
  <cp:lastModifiedBy>Heinrich Flury</cp:lastModifiedBy>
  <cp:revision>19</cp:revision>
  <dcterms:created xsi:type="dcterms:W3CDTF">2018-11-28T08:44:00Z</dcterms:created>
  <dcterms:modified xsi:type="dcterms:W3CDTF">2018-12-29T08:27:00Z</dcterms:modified>
</cp:coreProperties>
</file>